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624138" cy="26241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24138" cy="26241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Nitiya Walker is a nationally recognized nonprofit executive, education innovator, and thought leader dedicated to expanding access to higher education, financial literacy, and long term economic mobility. She is the Founder and Executive Director of Seeds of Fortune Inc., an award winning nonprofit organization that equips high school and college students with the tools to secure scholarships, navigate college affordability, and build strong career pathways with minimal student debt.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Raised in Brooklyn, New York, Nitiya’s personal experience navigating the college admissions and financial aid process inspired her mission driven work. She graduated debt free from Babson College as a Posse Leadership Scholar and launched Seeds of Fortune while still a student. What began as a grassroots initiative has grown into a nationally scaled organization serving thousands of students through hybrid programming, college partnerships, and innovative digital tools.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Under her leadership, Seeds of Fortune has helped students secure tens of millions of dollars in scholarships and grants and has built partnerships with leading universities, corporations, and philanthropic institutions. Nitiya has overseen the expansion of college access, financial empowerment, and career readiness programs that integrate mentorship, financial education, and real world exposure across high school and university populations.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addition to her nonprofit work, Nitiya is a recognized global young leader, honored on Forbes 30 Under 30 in Education and named a One Young World Deloitte Scholar. She is also the recipient of community leadership awards including the Chick fil A Community Hero Award and the Community Captain Award by the New York Rangers. She has spoken at venues including the United Nations International Day of the Girl, Opportunity Network events, Viacom Careers, Barnard College programs, the Yale University Conference, and Fidelity Investments.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Through her work, Nitiya continues to advocate for systemic solutions to college affordability and wealth building, emphasizing the critical connection between education, financial knowledge, and long term economic opportunity. Her leadership reflects a commitment to building scalable, data driven pathways that empower the next generation to thrive academically, professionally, and financially.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